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23 בספטמבר 2024</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 באלול תשפ"ד</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4700-1039-2024-007129</w:t>
      </w:r>
      <w:r w:rsidRPr="00832AD7">
        <w:rPr>
          <w:rFonts w:ascii="Times New Roman" w:eastAsia="Times New Roman" w:hAnsi="Times New Roman" w:cs="David" w:hint="cs"/>
          <w:sz w:val="16"/>
          <w:szCs w:val="16"/>
          <w:rtl/>
        </w:rPr>
        <w:fldChar w:fldCharType="end"/>
      </w:r>
    </w:p>
    <w:p w:rsidR="00EA6DF3" w:rsidRPr="00726DFC" w:rsidRDefault="00726DFC" w:rsidP="00726DFC">
      <w:pPr>
        <w:spacing w:after="120" w:line="360" w:lineRule="auto"/>
        <w:contextualSpacing/>
        <w:jc w:val="center"/>
        <w:rPr>
          <w:rFonts w:ascii="FrankRuehl" w:hAnsi="FrankRuehl" w:cs="FrankRuehl"/>
          <w:b/>
          <w:bCs/>
          <w:color w:val="002060"/>
          <w:sz w:val="32"/>
          <w:szCs w:val="32"/>
          <w:u w:val="single"/>
          <w:rtl/>
        </w:rPr>
      </w:pPr>
      <w:r>
        <w:rPr>
          <w:rFonts w:ascii="FrankRuehl" w:hAnsi="FrankRuehl" w:cs="FrankRuehl"/>
          <w:b/>
          <w:bCs/>
          <w:color w:val="002060"/>
          <w:sz w:val="32"/>
          <w:szCs w:val="32"/>
          <w:u w:val="single"/>
          <w:rtl/>
        </w:rPr>
        <w:t xml:space="preserve">תקציר </w:t>
      </w:r>
      <w:r>
        <w:rPr>
          <w:rFonts w:ascii="FrankRuehl" w:hAnsi="FrankRuehl" w:cs="FrankRuehl" w:hint="cs"/>
          <w:b/>
          <w:bCs/>
          <w:color w:val="002060"/>
          <w:sz w:val="32"/>
          <w:szCs w:val="32"/>
          <w:u w:val="single"/>
          <w:rtl/>
        </w:rPr>
        <w:t xml:space="preserve">הכרעת-דין </w:t>
      </w:r>
      <w:r w:rsidRPr="00726DFC">
        <w:rPr>
          <w:rFonts w:ascii="FrankRuehl" w:hAnsi="FrankRuehl" w:cs="FrankRuehl" w:hint="cs"/>
          <w:b/>
          <w:bCs/>
          <w:color w:val="002060"/>
          <w:sz w:val="32"/>
          <w:szCs w:val="32"/>
          <w:u w:val="single"/>
          <w:rtl/>
        </w:rPr>
        <w:t>ב</w:t>
      </w:r>
      <w:r w:rsidR="00EA6DF3" w:rsidRPr="00726DFC">
        <w:rPr>
          <w:rFonts w:ascii="FrankRuehl" w:hAnsi="FrankRuehl" w:cs="FrankRuehl" w:hint="cs"/>
          <w:b/>
          <w:bCs/>
          <w:color w:val="002060"/>
          <w:sz w:val="32"/>
          <w:szCs w:val="32"/>
          <w:u w:val="single"/>
          <w:rtl/>
        </w:rPr>
        <w:t>תיק</w:t>
      </w:r>
      <w:r w:rsidRPr="00726DFC">
        <w:rPr>
          <w:rFonts w:ascii="FrankRuehl" w:hAnsi="FrankRuehl" w:cs="FrankRuehl" w:hint="cs"/>
          <w:b/>
          <w:bCs/>
          <w:color w:val="002060"/>
          <w:sz w:val="32"/>
          <w:szCs w:val="32"/>
          <w:u w:val="single"/>
          <w:rtl/>
        </w:rPr>
        <w:t xml:space="preserve"> תפ"ח 33269-04-22 מדינת ישראל נ' אסעיד</w:t>
      </w:r>
    </w:p>
    <w:p w:rsidR="00EA6DF3" w:rsidRPr="000071E5" w:rsidRDefault="00EA6DF3" w:rsidP="00EA6DF3">
      <w:pPr>
        <w:spacing w:after="120"/>
        <w:contextualSpacing/>
        <w:jc w:val="center"/>
        <w:rPr>
          <w:rFonts w:ascii="FrankRuehl" w:hAnsi="FrankRuehl" w:cs="FrankRuehl"/>
          <w:b/>
          <w:bCs/>
          <w:color w:val="002060"/>
          <w:sz w:val="32"/>
          <w:szCs w:val="32"/>
          <w:rtl/>
        </w:rPr>
      </w:pPr>
      <w:r w:rsidRPr="000071E5">
        <w:rPr>
          <w:rFonts w:ascii="FrankRuehl" w:hAnsi="FrankRuehl" w:cs="FrankRuehl" w:hint="cs"/>
          <w:b/>
          <w:bCs/>
          <w:color w:val="002060"/>
          <w:sz w:val="32"/>
          <w:szCs w:val="32"/>
          <w:rtl/>
        </w:rPr>
        <w:t xml:space="preserve">הרכב </w:t>
      </w:r>
      <w:r w:rsidR="00726DFC">
        <w:rPr>
          <w:rFonts w:ascii="FrankRuehl" w:hAnsi="FrankRuehl" w:cs="FrankRuehl" w:hint="cs"/>
          <w:b/>
          <w:bCs/>
          <w:color w:val="002060"/>
          <w:sz w:val="32"/>
          <w:szCs w:val="32"/>
          <w:rtl/>
        </w:rPr>
        <w:t>ה</w:t>
      </w:r>
      <w:r w:rsidRPr="000071E5">
        <w:rPr>
          <w:rFonts w:ascii="FrankRuehl" w:hAnsi="FrankRuehl" w:cs="FrankRuehl" w:hint="cs"/>
          <w:b/>
          <w:bCs/>
          <w:color w:val="002060"/>
          <w:sz w:val="32"/>
          <w:szCs w:val="32"/>
          <w:rtl/>
        </w:rPr>
        <w:t xml:space="preserve">שופטים אב"ד </w:t>
      </w:r>
      <w:r w:rsidR="00726DFC">
        <w:rPr>
          <w:rFonts w:ascii="FrankRuehl" w:hAnsi="FrankRuehl" w:cs="FrankRuehl" w:hint="cs"/>
          <w:b/>
          <w:bCs/>
          <w:color w:val="002060"/>
          <w:sz w:val="32"/>
          <w:szCs w:val="32"/>
          <w:rtl/>
        </w:rPr>
        <w:t>ס' הנשיא השופט ארנון דראל, השופט אלי אברבנאל והשופטת חיה זנדברג</w:t>
      </w:r>
    </w:p>
    <w:p w:rsidR="00726DFC" w:rsidRPr="00726DFC" w:rsidRDefault="00726DFC" w:rsidP="00726DFC">
      <w:pPr>
        <w:spacing w:line="360" w:lineRule="auto"/>
        <w:jc w:val="both"/>
        <w:rPr>
          <w:rFonts w:ascii="David" w:hAnsi="David" w:cs="David"/>
          <w:sz w:val="4"/>
          <w:szCs w:val="4"/>
          <w:rtl/>
        </w:rPr>
      </w:pPr>
    </w:p>
    <w:p w:rsidR="00726DFC" w:rsidRDefault="00726DFC" w:rsidP="00726DFC">
      <w:pPr>
        <w:spacing w:line="360" w:lineRule="auto"/>
        <w:jc w:val="both"/>
        <w:rPr>
          <w:rFonts w:ascii="David" w:hAnsi="David" w:cs="David"/>
          <w:sz w:val="26"/>
          <w:szCs w:val="26"/>
          <w:rtl/>
        </w:rPr>
      </w:pPr>
      <w:r>
        <w:rPr>
          <w:rFonts w:ascii="David" w:hAnsi="David" w:cs="David" w:hint="cs"/>
          <w:sz w:val="26"/>
          <w:szCs w:val="26"/>
          <w:rtl/>
        </w:rPr>
        <w:t xml:space="preserve">בית המשפט המחוזי בירושלים (סגן הנשיא ארנון דראל, השופט אלי אברבנאל והשופטת חיה זנדברג) הרשיע היום פה אחד את הנאשם, </w:t>
      </w:r>
      <w:proofErr w:type="spellStart"/>
      <w:r>
        <w:rPr>
          <w:rFonts w:ascii="David" w:hAnsi="David" w:cs="David" w:hint="cs"/>
          <w:sz w:val="26"/>
          <w:szCs w:val="26"/>
          <w:rtl/>
        </w:rPr>
        <w:t>וסים</w:t>
      </w:r>
      <w:proofErr w:type="spellEnd"/>
      <w:r>
        <w:rPr>
          <w:rFonts w:ascii="David" w:hAnsi="David" w:cs="David" w:hint="cs"/>
          <w:sz w:val="26"/>
          <w:szCs w:val="26"/>
          <w:rtl/>
        </w:rPr>
        <w:t xml:space="preserve"> אסעיד בשתי עבירות של </w:t>
      </w:r>
      <w:r w:rsidRPr="00920F61">
        <w:rPr>
          <w:rFonts w:ascii="David" w:hAnsi="David" w:cs="David" w:hint="eastAsia"/>
          <w:b/>
          <w:bCs/>
          <w:sz w:val="26"/>
          <w:szCs w:val="26"/>
          <w:rtl/>
        </w:rPr>
        <w:t>רצח</w:t>
      </w:r>
      <w:r w:rsidRPr="00920F61">
        <w:rPr>
          <w:rFonts w:ascii="David" w:hAnsi="David" w:cs="David"/>
          <w:b/>
          <w:bCs/>
          <w:sz w:val="26"/>
          <w:szCs w:val="26"/>
          <w:rtl/>
        </w:rPr>
        <w:t xml:space="preserve"> </w:t>
      </w:r>
      <w:r w:rsidRPr="00920F61">
        <w:rPr>
          <w:rFonts w:ascii="David" w:hAnsi="David" w:cs="David" w:hint="eastAsia"/>
          <w:b/>
          <w:bCs/>
          <w:sz w:val="26"/>
          <w:szCs w:val="26"/>
          <w:rtl/>
        </w:rPr>
        <w:t>בכוונה</w:t>
      </w:r>
      <w:r w:rsidRPr="00920F61">
        <w:rPr>
          <w:rFonts w:ascii="David" w:hAnsi="David" w:cs="David"/>
          <w:b/>
          <w:bCs/>
          <w:sz w:val="26"/>
          <w:szCs w:val="26"/>
          <w:rtl/>
        </w:rPr>
        <w:t xml:space="preserve"> </w:t>
      </w:r>
      <w:r w:rsidRPr="00920F61">
        <w:rPr>
          <w:rFonts w:ascii="David" w:hAnsi="David" w:cs="David" w:hint="eastAsia"/>
          <w:b/>
          <w:bCs/>
          <w:sz w:val="26"/>
          <w:szCs w:val="26"/>
          <w:rtl/>
        </w:rPr>
        <w:t>תחילה</w:t>
      </w:r>
      <w:r>
        <w:rPr>
          <w:rFonts w:ascii="David" w:hAnsi="David" w:cs="David" w:hint="cs"/>
          <w:sz w:val="26"/>
          <w:szCs w:val="26"/>
          <w:rtl/>
        </w:rPr>
        <w:t xml:space="preserve">; בעבירה אחת של </w:t>
      </w:r>
      <w:r w:rsidRPr="00920F61">
        <w:rPr>
          <w:rFonts w:ascii="David" w:hAnsi="David" w:cs="David" w:hint="eastAsia"/>
          <w:b/>
          <w:bCs/>
          <w:sz w:val="26"/>
          <w:szCs w:val="26"/>
          <w:rtl/>
        </w:rPr>
        <w:t>רצח</w:t>
      </w:r>
      <w:r w:rsidRPr="00920F61">
        <w:rPr>
          <w:rFonts w:ascii="David" w:hAnsi="David" w:cs="David"/>
          <w:b/>
          <w:bCs/>
          <w:sz w:val="26"/>
          <w:szCs w:val="26"/>
          <w:rtl/>
        </w:rPr>
        <w:t xml:space="preserve"> </w:t>
      </w:r>
      <w:r w:rsidRPr="00920F61">
        <w:rPr>
          <w:rFonts w:ascii="David" w:hAnsi="David" w:cs="David" w:hint="eastAsia"/>
          <w:b/>
          <w:bCs/>
          <w:sz w:val="26"/>
          <w:szCs w:val="26"/>
          <w:rtl/>
        </w:rPr>
        <w:t>בנסיבות</w:t>
      </w:r>
      <w:r w:rsidRPr="00920F61">
        <w:rPr>
          <w:rFonts w:ascii="David" w:hAnsi="David" w:cs="David"/>
          <w:b/>
          <w:bCs/>
          <w:sz w:val="26"/>
          <w:szCs w:val="26"/>
          <w:rtl/>
        </w:rPr>
        <w:t xml:space="preserve"> </w:t>
      </w:r>
      <w:r w:rsidRPr="00920F61">
        <w:rPr>
          <w:rFonts w:ascii="David" w:hAnsi="David" w:cs="David" w:hint="eastAsia"/>
          <w:b/>
          <w:bCs/>
          <w:sz w:val="26"/>
          <w:szCs w:val="26"/>
          <w:rtl/>
        </w:rPr>
        <w:t>מחמירות</w:t>
      </w:r>
      <w:r>
        <w:rPr>
          <w:rFonts w:ascii="David" w:hAnsi="David" w:cs="David" w:hint="cs"/>
          <w:b/>
          <w:bCs/>
          <w:sz w:val="26"/>
          <w:szCs w:val="26"/>
          <w:rtl/>
        </w:rPr>
        <w:t xml:space="preserve">; </w:t>
      </w:r>
      <w:r>
        <w:rPr>
          <w:rFonts w:ascii="David" w:hAnsi="David" w:cs="David" w:hint="cs"/>
          <w:sz w:val="26"/>
          <w:szCs w:val="26"/>
          <w:rtl/>
        </w:rPr>
        <w:t>ב</w:t>
      </w:r>
      <w:r w:rsidRPr="00014147">
        <w:rPr>
          <w:rFonts w:ascii="David" w:hAnsi="David" w:cs="David" w:hint="cs"/>
          <w:sz w:val="26"/>
          <w:szCs w:val="26"/>
          <w:rtl/>
        </w:rPr>
        <w:t xml:space="preserve">שתי עבירות של </w:t>
      </w:r>
      <w:r w:rsidRPr="00920F61">
        <w:rPr>
          <w:rFonts w:ascii="David" w:hAnsi="David" w:cs="David" w:hint="eastAsia"/>
          <w:b/>
          <w:bCs/>
          <w:sz w:val="26"/>
          <w:szCs w:val="26"/>
          <w:rtl/>
        </w:rPr>
        <w:t>מעשה</w:t>
      </w:r>
      <w:r w:rsidRPr="00920F61">
        <w:rPr>
          <w:rFonts w:ascii="David" w:hAnsi="David" w:cs="David"/>
          <w:b/>
          <w:bCs/>
          <w:sz w:val="26"/>
          <w:szCs w:val="26"/>
          <w:rtl/>
        </w:rPr>
        <w:t xml:space="preserve"> </w:t>
      </w:r>
      <w:r w:rsidRPr="00920F61">
        <w:rPr>
          <w:rFonts w:ascii="David" w:hAnsi="David" w:cs="David" w:hint="eastAsia"/>
          <w:b/>
          <w:bCs/>
          <w:sz w:val="26"/>
          <w:szCs w:val="26"/>
          <w:rtl/>
        </w:rPr>
        <w:t>טרור</w:t>
      </w:r>
      <w:r w:rsidRPr="00920F61">
        <w:rPr>
          <w:rFonts w:ascii="David" w:hAnsi="David" w:cs="David"/>
          <w:b/>
          <w:bCs/>
          <w:sz w:val="26"/>
          <w:szCs w:val="26"/>
          <w:rtl/>
        </w:rPr>
        <w:t xml:space="preserve"> </w:t>
      </w:r>
      <w:r w:rsidRPr="00920F61">
        <w:rPr>
          <w:rFonts w:ascii="David" w:hAnsi="David" w:cs="David" w:hint="eastAsia"/>
          <w:b/>
          <w:bCs/>
          <w:sz w:val="26"/>
          <w:szCs w:val="26"/>
          <w:rtl/>
        </w:rPr>
        <w:t>של</w:t>
      </w:r>
      <w:r w:rsidRPr="00920F61">
        <w:rPr>
          <w:rFonts w:ascii="David" w:hAnsi="David" w:cs="David"/>
          <w:b/>
          <w:bCs/>
          <w:sz w:val="26"/>
          <w:szCs w:val="26"/>
          <w:rtl/>
        </w:rPr>
        <w:t xml:space="preserve"> </w:t>
      </w:r>
      <w:r w:rsidRPr="00920F61">
        <w:rPr>
          <w:rFonts w:ascii="David" w:hAnsi="David" w:cs="David" w:hint="eastAsia"/>
          <w:b/>
          <w:bCs/>
          <w:sz w:val="26"/>
          <w:szCs w:val="26"/>
          <w:rtl/>
        </w:rPr>
        <w:t>ניסיון</w:t>
      </w:r>
      <w:r w:rsidRPr="00920F61">
        <w:rPr>
          <w:rFonts w:ascii="David" w:hAnsi="David" w:cs="David"/>
          <w:b/>
          <w:bCs/>
          <w:sz w:val="26"/>
          <w:szCs w:val="26"/>
          <w:rtl/>
        </w:rPr>
        <w:t xml:space="preserve"> </w:t>
      </w:r>
      <w:r w:rsidRPr="00920F61">
        <w:rPr>
          <w:rFonts w:ascii="David" w:hAnsi="David" w:cs="David" w:hint="eastAsia"/>
          <w:b/>
          <w:bCs/>
          <w:sz w:val="26"/>
          <w:szCs w:val="26"/>
          <w:rtl/>
        </w:rPr>
        <w:t>רצח</w:t>
      </w:r>
      <w:r w:rsidRPr="00920F61">
        <w:rPr>
          <w:rFonts w:ascii="David" w:hAnsi="David" w:cs="David"/>
          <w:sz w:val="26"/>
          <w:szCs w:val="26"/>
          <w:rtl/>
        </w:rPr>
        <w:t xml:space="preserve"> </w:t>
      </w:r>
      <w:r>
        <w:rPr>
          <w:rFonts w:ascii="David" w:hAnsi="David" w:cs="David" w:hint="cs"/>
          <w:sz w:val="26"/>
          <w:szCs w:val="26"/>
          <w:rtl/>
        </w:rPr>
        <w:t>ובעבירות נוספות.</w:t>
      </w:r>
    </w:p>
    <w:p w:rsidR="00726DFC" w:rsidRDefault="00726DFC" w:rsidP="00726DFC">
      <w:pPr>
        <w:spacing w:line="360" w:lineRule="auto"/>
        <w:jc w:val="both"/>
        <w:rPr>
          <w:rFonts w:ascii="David" w:hAnsi="David" w:cs="David"/>
          <w:sz w:val="26"/>
          <w:szCs w:val="26"/>
          <w:rtl/>
        </w:rPr>
      </w:pPr>
      <w:r>
        <w:rPr>
          <w:rFonts w:ascii="David" w:hAnsi="David" w:cs="David" w:hint="cs"/>
          <w:sz w:val="26"/>
          <w:szCs w:val="26"/>
          <w:rtl/>
        </w:rPr>
        <w:t xml:space="preserve">כפי שנקבע בהכרעת הדין, הנאשם, היה חבר בארגון המדינה האסלאמית, </w:t>
      </w:r>
      <w:proofErr w:type="spellStart"/>
      <w:r>
        <w:rPr>
          <w:rFonts w:ascii="David" w:hAnsi="David" w:cs="David" w:hint="cs"/>
          <w:sz w:val="26"/>
          <w:szCs w:val="26"/>
          <w:rtl/>
        </w:rPr>
        <w:t>דאע"ש</w:t>
      </w:r>
      <w:proofErr w:type="spellEnd"/>
      <w:r>
        <w:rPr>
          <w:rFonts w:ascii="David" w:hAnsi="David" w:cs="David" w:hint="cs"/>
          <w:sz w:val="26"/>
          <w:szCs w:val="26"/>
          <w:rtl/>
        </w:rPr>
        <w:t>. כתב האישום והכרעת הדין מתייחסים לשלושה אירועים:</w:t>
      </w:r>
    </w:p>
    <w:p w:rsidR="00726DFC" w:rsidRDefault="00726DFC" w:rsidP="00726DFC">
      <w:pPr>
        <w:pStyle w:val="a9"/>
        <w:spacing w:line="360" w:lineRule="auto"/>
        <w:ind w:left="0"/>
        <w:jc w:val="both"/>
        <w:rPr>
          <w:rFonts w:ascii="David" w:hAnsi="David" w:cs="David"/>
          <w:sz w:val="26"/>
          <w:szCs w:val="26"/>
          <w:rtl/>
        </w:rPr>
      </w:pPr>
      <w:r>
        <w:rPr>
          <w:rFonts w:ascii="David" w:hAnsi="David" w:cs="David" w:hint="cs"/>
          <w:sz w:val="26"/>
          <w:szCs w:val="26"/>
          <w:rtl/>
        </w:rPr>
        <w:t xml:space="preserve">האירוע הראשון התרחש ביום 9.1.2019 בשעות הבוקר. הנאשם ניסה לרצוח את הנערה ה' ב' בדקירת סכין בצווארה ופצע אותה. </w:t>
      </w:r>
    </w:p>
    <w:p w:rsidR="00726DFC" w:rsidRPr="00920F61" w:rsidRDefault="00726DFC" w:rsidP="00726DFC">
      <w:pPr>
        <w:spacing w:line="360" w:lineRule="auto"/>
        <w:jc w:val="both"/>
        <w:rPr>
          <w:rFonts w:ascii="David" w:hAnsi="David" w:cs="David"/>
          <w:sz w:val="26"/>
          <w:szCs w:val="26"/>
        </w:rPr>
      </w:pPr>
      <w:r>
        <w:rPr>
          <w:rFonts w:ascii="David" w:hAnsi="David" w:cs="David" w:hint="cs"/>
          <w:sz w:val="26"/>
          <w:szCs w:val="26"/>
          <w:rtl/>
        </w:rPr>
        <w:t xml:space="preserve">האירוע השני התרחש בלילה שבין 10.2.2019 ל-11.2.2019. הנאשם חיפש קורבן יהודי לפגוע בו. </w:t>
      </w:r>
      <w:r w:rsidRPr="00920F61">
        <w:rPr>
          <w:rFonts w:ascii="David" w:hAnsi="David" w:cs="David"/>
          <w:sz w:val="26"/>
          <w:szCs w:val="26"/>
          <w:rtl/>
        </w:rPr>
        <w:t>סמוך לשעה 21:30 הבחין הנאשם ב</w:t>
      </w:r>
      <w:r>
        <w:rPr>
          <w:rFonts w:ascii="David" w:hAnsi="David" w:cs="David" w:hint="cs"/>
          <w:sz w:val="26"/>
          <w:szCs w:val="26"/>
          <w:rtl/>
        </w:rPr>
        <w:t>יהודה כדורי ז"ל</w:t>
      </w:r>
      <w:r w:rsidRPr="00920F61">
        <w:rPr>
          <w:rFonts w:ascii="David" w:hAnsi="David" w:cs="David"/>
          <w:sz w:val="26"/>
          <w:szCs w:val="26"/>
          <w:rtl/>
        </w:rPr>
        <w:t xml:space="preserve"> המגיע </w:t>
      </w:r>
      <w:r w:rsidRPr="00920F61">
        <w:rPr>
          <w:rFonts w:ascii="David" w:hAnsi="David" w:cs="David" w:hint="eastAsia"/>
          <w:sz w:val="26"/>
          <w:szCs w:val="26"/>
          <w:rtl/>
        </w:rPr>
        <w:t>ברכבו</w:t>
      </w:r>
      <w:r w:rsidRPr="00920F61">
        <w:rPr>
          <w:rFonts w:ascii="David" w:hAnsi="David" w:cs="David"/>
          <w:sz w:val="26"/>
          <w:szCs w:val="26"/>
          <w:rtl/>
        </w:rPr>
        <w:t xml:space="preserve"> </w:t>
      </w:r>
      <w:r w:rsidRPr="00920F61">
        <w:rPr>
          <w:rFonts w:ascii="David" w:hAnsi="David" w:cs="David" w:hint="eastAsia"/>
          <w:sz w:val="26"/>
          <w:szCs w:val="26"/>
          <w:rtl/>
        </w:rPr>
        <w:t>לרחבת</w:t>
      </w:r>
      <w:r w:rsidRPr="00920F61">
        <w:rPr>
          <w:rFonts w:ascii="David" w:hAnsi="David" w:cs="David"/>
          <w:sz w:val="26"/>
          <w:szCs w:val="26"/>
          <w:rtl/>
        </w:rPr>
        <w:t xml:space="preserve"> </w:t>
      </w:r>
      <w:r w:rsidRPr="00920F61">
        <w:rPr>
          <w:rFonts w:ascii="David" w:hAnsi="David" w:cs="David" w:hint="eastAsia"/>
          <w:sz w:val="26"/>
          <w:szCs w:val="26"/>
          <w:rtl/>
        </w:rPr>
        <w:t>החניה</w:t>
      </w:r>
      <w:r w:rsidRPr="00920F61">
        <w:rPr>
          <w:rFonts w:ascii="David" w:hAnsi="David" w:cs="David"/>
          <w:sz w:val="26"/>
          <w:szCs w:val="26"/>
          <w:rtl/>
        </w:rPr>
        <w:t xml:space="preserve"> </w:t>
      </w:r>
      <w:r w:rsidRPr="00920F61">
        <w:rPr>
          <w:rFonts w:ascii="David" w:hAnsi="David" w:cs="David" w:hint="eastAsia"/>
          <w:sz w:val="26"/>
          <w:szCs w:val="26"/>
          <w:rtl/>
        </w:rPr>
        <w:t>שלפני</w:t>
      </w:r>
      <w:r w:rsidRPr="00920F61">
        <w:rPr>
          <w:rFonts w:ascii="David" w:hAnsi="David" w:cs="David"/>
          <w:sz w:val="26"/>
          <w:szCs w:val="26"/>
          <w:rtl/>
        </w:rPr>
        <w:t xml:space="preserve"> </w:t>
      </w:r>
      <w:r w:rsidRPr="00920F61">
        <w:rPr>
          <w:rFonts w:ascii="David" w:hAnsi="David" w:cs="David" w:hint="eastAsia"/>
          <w:sz w:val="26"/>
          <w:szCs w:val="26"/>
          <w:rtl/>
        </w:rPr>
        <w:t>הכניסה</w:t>
      </w:r>
      <w:r w:rsidRPr="00920F61">
        <w:rPr>
          <w:rFonts w:ascii="David" w:hAnsi="David" w:cs="David"/>
          <w:sz w:val="26"/>
          <w:szCs w:val="26"/>
          <w:rtl/>
        </w:rPr>
        <w:t xml:space="preserve"> </w:t>
      </w:r>
      <w:r w:rsidRPr="00920F61">
        <w:rPr>
          <w:rFonts w:ascii="David" w:hAnsi="David" w:cs="David" w:hint="eastAsia"/>
          <w:sz w:val="26"/>
          <w:szCs w:val="26"/>
          <w:rtl/>
        </w:rPr>
        <w:t>לבניין</w:t>
      </w:r>
      <w:r w:rsidRPr="00920F61">
        <w:rPr>
          <w:rFonts w:ascii="David" w:hAnsi="David" w:cs="David"/>
          <w:sz w:val="26"/>
          <w:szCs w:val="26"/>
          <w:rtl/>
        </w:rPr>
        <w:t xml:space="preserve"> </w:t>
      </w:r>
      <w:r>
        <w:rPr>
          <w:rFonts w:ascii="David" w:hAnsi="David" w:cs="David" w:hint="cs"/>
          <w:sz w:val="26"/>
          <w:szCs w:val="26"/>
          <w:rtl/>
        </w:rPr>
        <w:t xml:space="preserve"> בירושלים בו התגורר עם רעייתו, תמר כדורי ז"ל</w:t>
      </w:r>
      <w:r w:rsidRPr="00920F61">
        <w:rPr>
          <w:rFonts w:ascii="David" w:hAnsi="David" w:cs="David"/>
          <w:sz w:val="26"/>
          <w:szCs w:val="26"/>
          <w:rtl/>
        </w:rPr>
        <w:t>.</w:t>
      </w:r>
      <w:r>
        <w:rPr>
          <w:rFonts w:ascii="David" w:hAnsi="David" w:cs="David" w:hint="cs"/>
          <w:sz w:val="26"/>
          <w:szCs w:val="26"/>
          <w:rtl/>
        </w:rPr>
        <w:t xml:space="preserve"> מר כדורי ז"ל יצא מהרכב כדי לפרוק מצרכים. הנאשם עקב אחריו, נכנס לדירה ושם דקר את תמר כדורי ז"ל מספר פעמים. לאחר מכן המתין עד שמר כדורי ז"ל יכנס לחדר שבו הסתתר,</w:t>
      </w:r>
      <w:r w:rsidRPr="00920F61">
        <w:rPr>
          <w:rFonts w:ascii="David" w:hAnsi="David" w:cs="David"/>
          <w:sz w:val="26"/>
          <w:szCs w:val="26"/>
          <w:rtl/>
        </w:rPr>
        <w:t xml:space="preserve"> הסתער עליו ודקר אותו בסכין. </w:t>
      </w:r>
    </w:p>
    <w:p w:rsidR="00726DFC" w:rsidRPr="00920F61" w:rsidRDefault="00726DFC" w:rsidP="00726DFC">
      <w:pPr>
        <w:pStyle w:val="a9"/>
        <w:spacing w:line="360" w:lineRule="auto"/>
        <w:ind w:left="0"/>
        <w:jc w:val="both"/>
        <w:rPr>
          <w:rFonts w:ascii="David" w:hAnsi="David" w:cs="David"/>
          <w:sz w:val="26"/>
          <w:szCs w:val="26"/>
        </w:rPr>
      </w:pPr>
      <w:r>
        <w:rPr>
          <w:rFonts w:ascii="David" w:hAnsi="David" w:cs="David" w:hint="cs"/>
          <w:sz w:val="26"/>
          <w:szCs w:val="26"/>
          <w:rtl/>
        </w:rPr>
        <w:t xml:space="preserve">האירוע השלישי התרחש שלוש שנים לאחר מכן, עם שחרורו של הנאשם ממעצר מנהלי. הנאשם </w:t>
      </w:r>
      <w:r w:rsidRPr="00920F61">
        <w:rPr>
          <w:rFonts w:ascii="David" w:hAnsi="David" w:cs="David"/>
          <w:sz w:val="26"/>
          <w:szCs w:val="26"/>
          <w:rtl/>
        </w:rPr>
        <w:t>נכנס לישראל</w:t>
      </w:r>
      <w:r>
        <w:rPr>
          <w:rFonts w:ascii="David" w:hAnsi="David" w:cs="David" w:hint="cs"/>
          <w:sz w:val="26"/>
          <w:szCs w:val="26"/>
          <w:rtl/>
        </w:rPr>
        <w:t xml:space="preserve"> ביום 20.3.2022</w:t>
      </w:r>
      <w:r w:rsidRPr="00920F61">
        <w:rPr>
          <w:rFonts w:ascii="David" w:hAnsi="David" w:cs="David"/>
          <w:sz w:val="26"/>
          <w:szCs w:val="26"/>
          <w:rtl/>
        </w:rPr>
        <w:t xml:space="preserve"> במטרה להרוג יהודים.</w:t>
      </w:r>
      <w:r>
        <w:rPr>
          <w:rFonts w:ascii="David" w:hAnsi="David" w:cs="David" w:hint="cs"/>
          <w:sz w:val="26"/>
          <w:szCs w:val="26"/>
          <w:rtl/>
        </w:rPr>
        <w:t xml:space="preserve"> הוא הגיע לשכונת ארמון הנציב, </w:t>
      </w:r>
      <w:r w:rsidRPr="00920F61">
        <w:rPr>
          <w:rFonts w:ascii="David" w:hAnsi="David" w:cs="David"/>
          <w:sz w:val="26"/>
          <w:szCs w:val="26"/>
          <w:rtl/>
        </w:rPr>
        <w:t xml:space="preserve">שוטט ברחובות השכונה בכוונה לאתר קורבן יהודי ולרצוח אותו מתוך מניע לאומני ואידיאולוגי. </w:t>
      </w:r>
      <w:r w:rsidRPr="00920F61">
        <w:rPr>
          <w:rFonts w:ascii="David" w:hAnsi="David" w:cs="David" w:hint="eastAsia"/>
          <w:sz w:val="26"/>
          <w:szCs w:val="26"/>
          <w:rtl/>
        </w:rPr>
        <w:t>לאחר</w:t>
      </w:r>
      <w:r w:rsidRPr="00920F61">
        <w:rPr>
          <w:rFonts w:ascii="David" w:hAnsi="David" w:cs="David"/>
          <w:sz w:val="26"/>
          <w:szCs w:val="26"/>
          <w:rtl/>
        </w:rPr>
        <w:t xml:space="preserve"> </w:t>
      </w:r>
      <w:r w:rsidRPr="00920F61">
        <w:rPr>
          <w:rFonts w:ascii="David" w:hAnsi="David" w:cs="David" w:hint="eastAsia"/>
          <w:sz w:val="26"/>
          <w:szCs w:val="26"/>
          <w:rtl/>
        </w:rPr>
        <w:t>כמה</w:t>
      </w:r>
      <w:r w:rsidRPr="00920F61">
        <w:rPr>
          <w:rFonts w:ascii="David" w:hAnsi="David" w:cs="David"/>
          <w:sz w:val="26"/>
          <w:szCs w:val="26"/>
          <w:rtl/>
        </w:rPr>
        <w:t xml:space="preserve"> </w:t>
      </w:r>
      <w:r w:rsidRPr="00920F61">
        <w:rPr>
          <w:rFonts w:ascii="David" w:hAnsi="David" w:cs="David" w:hint="eastAsia"/>
          <w:sz w:val="26"/>
          <w:szCs w:val="26"/>
          <w:rtl/>
        </w:rPr>
        <w:t>שעות</w:t>
      </w:r>
      <w:r w:rsidRPr="00920F61">
        <w:rPr>
          <w:rFonts w:ascii="David" w:hAnsi="David" w:cs="David"/>
          <w:sz w:val="26"/>
          <w:szCs w:val="26"/>
          <w:rtl/>
        </w:rPr>
        <w:t xml:space="preserve">, </w:t>
      </w:r>
      <w:r w:rsidRPr="00920F61">
        <w:rPr>
          <w:rFonts w:ascii="David" w:hAnsi="David" w:cs="David" w:hint="eastAsia"/>
          <w:sz w:val="26"/>
          <w:szCs w:val="26"/>
          <w:rtl/>
        </w:rPr>
        <w:t>סמוך</w:t>
      </w:r>
      <w:r w:rsidRPr="00920F61">
        <w:rPr>
          <w:rFonts w:ascii="David" w:hAnsi="David" w:cs="David"/>
          <w:sz w:val="26"/>
          <w:szCs w:val="26"/>
          <w:rtl/>
        </w:rPr>
        <w:t xml:space="preserve"> </w:t>
      </w:r>
      <w:r w:rsidRPr="00920F61">
        <w:rPr>
          <w:rFonts w:ascii="David" w:hAnsi="David" w:cs="David" w:hint="eastAsia"/>
          <w:sz w:val="26"/>
          <w:szCs w:val="26"/>
          <w:rtl/>
        </w:rPr>
        <w:t>לשעה</w:t>
      </w:r>
      <w:r w:rsidRPr="00920F61">
        <w:rPr>
          <w:rFonts w:ascii="David" w:hAnsi="David" w:cs="David"/>
          <w:sz w:val="26"/>
          <w:szCs w:val="26"/>
          <w:rtl/>
        </w:rPr>
        <w:t xml:space="preserve"> 01:20 </w:t>
      </w:r>
      <w:r w:rsidRPr="00920F61">
        <w:rPr>
          <w:rFonts w:ascii="David" w:hAnsi="David" w:cs="David" w:hint="eastAsia"/>
          <w:sz w:val="26"/>
          <w:szCs w:val="26"/>
          <w:rtl/>
        </w:rPr>
        <w:t>ביום</w:t>
      </w:r>
      <w:r w:rsidRPr="00920F61">
        <w:rPr>
          <w:rFonts w:ascii="David" w:hAnsi="David" w:cs="David"/>
          <w:sz w:val="26"/>
          <w:szCs w:val="26"/>
          <w:rtl/>
        </w:rPr>
        <w:t xml:space="preserve"> 21.3.2022, </w:t>
      </w:r>
      <w:r w:rsidRPr="00920F61">
        <w:rPr>
          <w:rFonts w:ascii="David" w:hAnsi="David" w:cs="David" w:hint="eastAsia"/>
          <w:sz w:val="26"/>
          <w:szCs w:val="26"/>
          <w:rtl/>
        </w:rPr>
        <w:t>נכנס</w:t>
      </w:r>
      <w:r w:rsidRPr="00920F61">
        <w:rPr>
          <w:rFonts w:ascii="David" w:hAnsi="David" w:cs="David"/>
          <w:sz w:val="26"/>
          <w:szCs w:val="26"/>
          <w:rtl/>
        </w:rPr>
        <w:t xml:space="preserve"> </w:t>
      </w:r>
      <w:r w:rsidRPr="00920F61">
        <w:rPr>
          <w:rFonts w:ascii="David" w:hAnsi="David" w:cs="David" w:hint="eastAsia"/>
          <w:sz w:val="26"/>
          <w:szCs w:val="26"/>
          <w:rtl/>
        </w:rPr>
        <w:t>הנאשם</w:t>
      </w:r>
      <w:r w:rsidRPr="00920F61">
        <w:rPr>
          <w:rFonts w:ascii="David" w:hAnsi="David" w:cs="David"/>
          <w:sz w:val="26"/>
          <w:szCs w:val="26"/>
          <w:rtl/>
        </w:rPr>
        <w:t xml:space="preserve"> </w:t>
      </w:r>
      <w:r w:rsidRPr="00920F61">
        <w:rPr>
          <w:rFonts w:ascii="David" w:hAnsi="David" w:cs="David" w:hint="eastAsia"/>
          <w:sz w:val="26"/>
          <w:szCs w:val="26"/>
          <w:rtl/>
        </w:rPr>
        <w:t>לבניין</w:t>
      </w:r>
      <w:r w:rsidRPr="00920F61">
        <w:rPr>
          <w:rFonts w:ascii="David" w:hAnsi="David" w:cs="David"/>
          <w:sz w:val="26"/>
          <w:szCs w:val="26"/>
          <w:rtl/>
        </w:rPr>
        <w:t xml:space="preserve"> </w:t>
      </w:r>
      <w:r w:rsidRPr="00920F61">
        <w:rPr>
          <w:rFonts w:ascii="David" w:hAnsi="David" w:cs="David" w:hint="eastAsia"/>
          <w:sz w:val="26"/>
          <w:szCs w:val="26"/>
          <w:rtl/>
        </w:rPr>
        <w:t>בירושלים</w:t>
      </w:r>
      <w:r w:rsidRPr="00920F61">
        <w:rPr>
          <w:rFonts w:ascii="David" w:hAnsi="David" w:cs="David"/>
          <w:sz w:val="26"/>
          <w:szCs w:val="26"/>
          <w:rtl/>
        </w:rPr>
        <w:t xml:space="preserve">, </w:t>
      </w:r>
      <w:r w:rsidRPr="00920F61">
        <w:rPr>
          <w:rFonts w:ascii="David" w:hAnsi="David" w:cs="David" w:hint="eastAsia"/>
          <w:sz w:val="26"/>
          <w:szCs w:val="26"/>
          <w:rtl/>
        </w:rPr>
        <w:t>עלה</w:t>
      </w:r>
      <w:r w:rsidRPr="00920F61">
        <w:rPr>
          <w:rFonts w:ascii="David" w:hAnsi="David" w:cs="David"/>
          <w:sz w:val="26"/>
          <w:szCs w:val="26"/>
          <w:rtl/>
        </w:rPr>
        <w:t xml:space="preserve"> </w:t>
      </w:r>
      <w:r w:rsidRPr="00920F61">
        <w:rPr>
          <w:rFonts w:ascii="David" w:hAnsi="David" w:cs="David" w:hint="eastAsia"/>
          <w:sz w:val="26"/>
          <w:szCs w:val="26"/>
          <w:rtl/>
        </w:rPr>
        <w:t>לקומה</w:t>
      </w:r>
      <w:r w:rsidRPr="00920F61">
        <w:rPr>
          <w:rFonts w:ascii="David" w:hAnsi="David" w:cs="David"/>
          <w:sz w:val="26"/>
          <w:szCs w:val="26"/>
          <w:rtl/>
        </w:rPr>
        <w:t xml:space="preserve"> </w:t>
      </w:r>
      <w:r w:rsidRPr="00920F61">
        <w:rPr>
          <w:rFonts w:ascii="David" w:hAnsi="David" w:cs="David" w:hint="eastAsia"/>
          <w:sz w:val="26"/>
          <w:szCs w:val="26"/>
          <w:rtl/>
        </w:rPr>
        <w:t>הראשונה</w:t>
      </w:r>
      <w:r w:rsidRPr="00920F61">
        <w:rPr>
          <w:rFonts w:ascii="David" w:hAnsi="David" w:cs="David"/>
          <w:sz w:val="26"/>
          <w:szCs w:val="26"/>
          <w:rtl/>
        </w:rPr>
        <w:t xml:space="preserve">, </w:t>
      </w:r>
      <w:r>
        <w:rPr>
          <w:rFonts w:ascii="David" w:hAnsi="David" w:cs="David" w:hint="cs"/>
          <w:sz w:val="26"/>
          <w:szCs w:val="26"/>
          <w:rtl/>
        </w:rPr>
        <w:t xml:space="preserve">נכנס לדירה שדלתה הייתה פתוחה, ודקר בסכין את </w:t>
      </w:r>
      <w:r w:rsidRPr="00920F61">
        <w:rPr>
          <w:rFonts w:ascii="David" w:hAnsi="David" w:cs="David"/>
          <w:sz w:val="26"/>
          <w:szCs w:val="26"/>
          <w:rtl/>
        </w:rPr>
        <w:t xml:space="preserve">איוון </w:t>
      </w:r>
      <w:proofErr w:type="spellStart"/>
      <w:r w:rsidRPr="00920F61">
        <w:rPr>
          <w:rFonts w:ascii="David" w:hAnsi="David" w:cs="David"/>
          <w:sz w:val="26"/>
          <w:szCs w:val="26"/>
          <w:rtl/>
        </w:rPr>
        <w:t>טירוונסקי</w:t>
      </w:r>
      <w:proofErr w:type="spellEnd"/>
      <w:r w:rsidRPr="00920F61">
        <w:rPr>
          <w:rFonts w:ascii="David" w:hAnsi="David" w:cs="David"/>
          <w:sz w:val="26"/>
          <w:szCs w:val="26"/>
          <w:rtl/>
        </w:rPr>
        <w:t xml:space="preserve"> ז"ל, אזרח מולדובה העובד בישראל,</w:t>
      </w:r>
      <w:r>
        <w:rPr>
          <w:rFonts w:ascii="David" w:hAnsi="David" w:cs="David" w:hint="cs"/>
          <w:sz w:val="26"/>
          <w:szCs w:val="26"/>
          <w:rtl/>
        </w:rPr>
        <w:t xml:space="preserve"> שישן במיטתו. לאחר מכן דקר אדם אחר שהיה בדירה ופצע אותו. </w:t>
      </w:r>
    </w:p>
    <w:p w:rsidR="00EA6DF3" w:rsidRPr="00726DFC" w:rsidRDefault="00726DFC" w:rsidP="00726DFC">
      <w:pPr>
        <w:spacing w:line="360" w:lineRule="auto"/>
        <w:jc w:val="both"/>
        <w:rPr>
          <w:rFonts w:ascii="David" w:hAnsi="David" w:cs="David"/>
          <w:sz w:val="26"/>
          <w:szCs w:val="26"/>
          <w:rtl/>
        </w:rPr>
      </w:pPr>
      <w:r>
        <w:rPr>
          <w:rFonts w:ascii="David" w:hAnsi="David" w:cs="David" w:hint="cs"/>
          <w:sz w:val="26"/>
          <w:szCs w:val="26"/>
          <w:rtl/>
        </w:rPr>
        <w:t xml:space="preserve">הכרעת הדין מבוססת על הודאות שנתן במהלך חקירתו, שחזורים שערך וראיות אובייקטיביות הכוללות ממצאי </w:t>
      </w:r>
      <w:r>
        <w:rPr>
          <w:rFonts w:ascii="David" w:hAnsi="David" w:cs="David" w:hint="cs"/>
          <w:sz w:val="26"/>
          <w:szCs w:val="26"/>
        </w:rPr>
        <w:t>DNA</w:t>
      </w:r>
      <w:r>
        <w:rPr>
          <w:rFonts w:ascii="David" w:hAnsi="David" w:cs="David" w:hint="cs"/>
          <w:sz w:val="26"/>
          <w:szCs w:val="26"/>
          <w:rtl/>
        </w:rPr>
        <w:t xml:space="preserve"> מכתמי דם של קורבנותיו על גבי נעליו ובגדיו. טענת הנאשם לכך שהודאותיו ניתנו שלא מרצונו החופשי נדחו על יסוד העדפת עדויות החוקרים על דרך גביית ההודאות על גרסתו, והיכרות של הנאשם עם פרטים מוכמנים רבים שאותם ידע לתאר.</w:t>
      </w:r>
    </w:p>
    <w:p w:rsidR="00515986" w:rsidRPr="00726DFC" w:rsidRDefault="00EA6DF3" w:rsidP="00726DFC">
      <w:pPr>
        <w:spacing w:after="120" w:line="360" w:lineRule="auto"/>
        <w:jc w:val="center"/>
        <w:rPr>
          <w:rFonts w:ascii="FrankRuehl" w:hAnsi="FrankRuehl" w:cs="FrankRuehl"/>
          <w:b/>
          <w:bCs/>
          <w:color w:val="002060"/>
          <w:sz w:val="26"/>
          <w:szCs w:val="26"/>
          <w:rtl/>
        </w:rPr>
      </w:pPr>
      <w:r w:rsidRPr="000071E5">
        <w:rPr>
          <w:rFonts w:ascii="FrankRuehl" w:hAnsi="FrankRuehl" w:cs="FrankRuehl" w:hint="cs"/>
          <w:b/>
          <w:bCs/>
          <w:color w:val="002060"/>
          <w:sz w:val="26"/>
          <w:szCs w:val="26"/>
          <w:rtl/>
        </w:rPr>
        <w:t xml:space="preserve">*** </w:t>
      </w:r>
      <w:r w:rsidR="00726DFC">
        <w:rPr>
          <w:rFonts w:ascii="FrankRuehl" w:hAnsi="FrankRuehl" w:cs="FrankRuehl"/>
          <w:b/>
          <w:bCs/>
          <w:color w:val="002060"/>
          <w:sz w:val="26"/>
          <w:szCs w:val="26"/>
          <w:rtl/>
        </w:rPr>
        <w:t xml:space="preserve">התקציר אינו </w:t>
      </w:r>
      <w:r w:rsidR="00726DFC">
        <w:rPr>
          <w:rFonts w:ascii="FrankRuehl" w:hAnsi="FrankRuehl" w:cs="FrankRuehl" w:hint="cs"/>
          <w:b/>
          <w:bCs/>
          <w:color w:val="002060"/>
          <w:sz w:val="26"/>
          <w:szCs w:val="26"/>
          <w:rtl/>
        </w:rPr>
        <w:t>מחליף</w:t>
      </w:r>
      <w:r w:rsidRPr="000071E5">
        <w:rPr>
          <w:rFonts w:ascii="FrankRuehl" w:hAnsi="FrankRuehl" w:cs="FrankRuehl"/>
          <w:b/>
          <w:bCs/>
          <w:color w:val="002060"/>
          <w:sz w:val="26"/>
          <w:szCs w:val="26"/>
          <w:rtl/>
        </w:rPr>
        <w:t xml:space="preserve">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sectPr w:rsidR="00515986" w:rsidRPr="00726DFC"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CBC" w:rsidRDefault="00865CBC" w:rsidP="00730CA1">
      <w:pPr>
        <w:spacing w:after="0" w:line="240" w:lineRule="auto"/>
      </w:pPr>
      <w:r>
        <w:separator/>
      </w:r>
    </w:p>
  </w:endnote>
  <w:endnote w:type="continuationSeparator" w:id="0">
    <w:p w:rsidR="00865CBC" w:rsidRDefault="00865CBC"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בית משפט העליון | דרך השופט מאיר שמגר 1 | </w:t>
    </w:r>
    <w:proofErr w:type="spellStart"/>
    <w:r w:rsidRPr="003A639C">
      <w:rPr>
        <w:rFonts w:ascii="Times New Roman" w:eastAsia="Times New Roman" w:hAnsi="Times New Roman" w:cs="FrankRuehl" w:hint="cs"/>
        <w:b/>
        <w:bCs/>
        <w:color w:val="000080"/>
        <w:spacing w:val="6"/>
        <w:sz w:val="24"/>
        <w:szCs w:val="24"/>
        <w:rtl/>
      </w:rPr>
      <w:t>קרית</w:t>
    </w:r>
    <w:proofErr w:type="spellEnd"/>
    <w:r w:rsidRPr="003A639C">
      <w:rPr>
        <w:rFonts w:ascii="Times New Roman" w:eastAsia="Times New Roman" w:hAnsi="Times New Roman" w:cs="FrankRuehl" w:hint="cs"/>
        <w:b/>
        <w:bCs/>
        <w:color w:val="000080"/>
        <w:spacing w:val="6"/>
        <w:sz w:val="24"/>
        <w:szCs w:val="24"/>
        <w:rtl/>
      </w:rPr>
      <w:t xml:space="preserve">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CBC" w:rsidRDefault="00865CBC" w:rsidP="00730CA1">
      <w:pPr>
        <w:spacing w:after="0" w:line="240" w:lineRule="auto"/>
      </w:pPr>
      <w:r>
        <w:separator/>
      </w:r>
    </w:p>
  </w:footnote>
  <w:footnote w:type="continuationSeparator" w:id="0">
    <w:p w:rsidR="00865CBC" w:rsidRDefault="00865CBC"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372801" cy="440583"/>
          <wp:effectExtent l="0" t="0" r="8255" b="0"/>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678" cy="446347"/>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726DFC"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rtl/>
        <w:lang w:eastAsia="he-IL"/>
      </w:rPr>
    </w:pPr>
    <w:r w:rsidRPr="00726DFC">
      <w:rPr>
        <w:rFonts w:ascii="Times New Roman" w:eastAsia="Times New Roman" w:hAnsi="Times New Roman" w:cs="FrankRuehl" w:hint="cs"/>
        <w:b/>
        <w:bCs/>
        <w:color w:val="000080"/>
        <w:spacing w:val="6"/>
        <w:rtl/>
        <w:lang w:eastAsia="he-IL"/>
      </w:rPr>
      <w:t>מערכת בתי המשפט</w:t>
    </w:r>
  </w:p>
  <w:p w:rsidR="007007D7" w:rsidRPr="00726DFC"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lang w:eastAsia="he-IL"/>
      </w:rPr>
    </w:pPr>
    <w:r w:rsidRPr="00726DFC">
      <w:rPr>
        <w:rFonts w:ascii="Times New Roman" w:eastAsia="Times New Roman" w:hAnsi="Times New Roman" w:cs="FrankRuehl" w:hint="cs"/>
        <w:b/>
        <w:bCs/>
        <w:color w:val="000080"/>
        <w:spacing w:val="6"/>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340F"/>
    <w:rsid w:val="00025761"/>
    <w:rsid w:val="000C4D75"/>
    <w:rsid w:val="000F2ABA"/>
    <w:rsid w:val="001D42A7"/>
    <w:rsid w:val="002453CF"/>
    <w:rsid w:val="002C0E83"/>
    <w:rsid w:val="003921C3"/>
    <w:rsid w:val="003A639C"/>
    <w:rsid w:val="003C61AF"/>
    <w:rsid w:val="003E6E39"/>
    <w:rsid w:val="003E7EB7"/>
    <w:rsid w:val="00426AA7"/>
    <w:rsid w:val="00515986"/>
    <w:rsid w:val="005253B2"/>
    <w:rsid w:val="00541C9E"/>
    <w:rsid w:val="00631744"/>
    <w:rsid w:val="00690B6F"/>
    <w:rsid w:val="006B7B96"/>
    <w:rsid w:val="006C3B1F"/>
    <w:rsid w:val="006F1E1F"/>
    <w:rsid w:val="007007D7"/>
    <w:rsid w:val="00711675"/>
    <w:rsid w:val="00726DFC"/>
    <w:rsid w:val="00730CA1"/>
    <w:rsid w:val="007B7899"/>
    <w:rsid w:val="00832AD7"/>
    <w:rsid w:val="00865CBC"/>
    <w:rsid w:val="008C02E0"/>
    <w:rsid w:val="00983123"/>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A6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 w:type="paragraph" w:styleId="a9">
    <w:name w:val="List Paragraph"/>
    <w:basedOn w:val="a"/>
    <w:uiPriority w:val="34"/>
    <w:qFormat/>
    <w:rsid w:val="00726D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0BB55E19-FA36-4BC5-B17F-61DE4B62499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1870</Characters>
  <Application>Microsoft Office Word</Application>
  <DocSecurity>0</DocSecurity>
  <Lines>15</Lines>
  <Paragraphs>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2024-09-23T07:14:00Z</dcterms:created>
  <dcterms:modified xsi:type="dcterms:W3CDTF">2024-09-23T07:14:00Z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23 בספטמבר 2024</vt:lpwstr>
  </property>
  <property fmtid="{D5CDD505-2E9C-101B-9397-08002B2CF9AE}" pid="3" name="DocDateHeb">
    <vt:lpwstr>כ' באלול תשפ"ד</vt:lpwstr>
  </property>
  <property fmtid="{D5CDD505-2E9C-101B-9397-08002B2CF9AE}" pid="4" name="DocNumber">
    <vt:lpwstr>4700-1039-2024-007129</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גז"ד בתיק תפ"ח 33269-04-22</vt:lpwstr>
  </property>
</Properties>
</file>